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DE4" w:rsidRPr="00562DE4" w:rsidRDefault="00562DE4" w:rsidP="00562DE4">
      <w:pPr>
        <w:spacing w:before="240" w:after="24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562DE4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ИЗВЕЩЕНИЕ</w:t>
      </w:r>
      <w:r w:rsidRPr="00562DE4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br/>
        <w:t>о проведении конкурса по выбору исполнителей мероприятий государственных программ</w:t>
      </w:r>
    </w:p>
    <w:p w:rsidR="00562DE4" w:rsidRPr="00562DE4" w:rsidRDefault="00562DE4" w:rsidP="00562DE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2DE4">
        <w:rPr>
          <w:rFonts w:ascii="Times New Roman" w:eastAsiaTheme="minorEastAsia" w:hAnsi="Times New Roman"/>
          <w:sz w:val="24"/>
          <w:szCs w:val="24"/>
          <w:lang w:eastAsia="ru-RU"/>
        </w:rPr>
        <w:t>1. Сведения об организаторе конкурса:</w:t>
      </w:r>
    </w:p>
    <w:p w:rsidR="00562DE4" w:rsidRPr="00562DE4" w:rsidRDefault="00562DE4" w:rsidP="00562DE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2DE4">
        <w:rPr>
          <w:rFonts w:ascii="Times New Roman" w:eastAsiaTheme="minorEastAsia" w:hAnsi="Times New Roman"/>
          <w:sz w:val="24"/>
          <w:szCs w:val="24"/>
          <w:lang w:eastAsia="ru-RU"/>
        </w:rPr>
        <w:t xml:space="preserve">1.1. полное наименование </w:t>
      </w:r>
      <w:r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Министерство</w:t>
      </w:r>
      <w:r w:rsidRPr="00562DE4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транспорта и коммуникаций </w:t>
      </w:r>
      <w:r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br/>
      </w:r>
      <w:r w:rsidRPr="00562DE4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Республики Беларусь</w:t>
      </w:r>
    </w:p>
    <w:p w:rsidR="00562DE4" w:rsidRPr="00562DE4" w:rsidRDefault="00562DE4" w:rsidP="00562DE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2DE4">
        <w:rPr>
          <w:rFonts w:ascii="Times New Roman" w:eastAsiaTheme="minorEastAsia" w:hAnsi="Times New Roman"/>
          <w:sz w:val="24"/>
          <w:szCs w:val="24"/>
          <w:lang w:eastAsia="ru-RU"/>
        </w:rPr>
        <w:t xml:space="preserve">1.2. место нахождения </w:t>
      </w:r>
      <w:r w:rsidRPr="00562DE4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220029, г. Минск, ул. Чичерина 21</w:t>
      </w:r>
    </w:p>
    <w:p w:rsidR="00562DE4" w:rsidRPr="00562DE4" w:rsidRDefault="00562DE4" w:rsidP="00562DE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2DE4">
        <w:rPr>
          <w:rFonts w:ascii="Times New Roman" w:eastAsiaTheme="minorEastAsia" w:hAnsi="Times New Roman"/>
          <w:sz w:val="24"/>
          <w:szCs w:val="24"/>
          <w:lang w:eastAsia="ru-RU"/>
        </w:rPr>
        <w:t xml:space="preserve">1.3. почтовый адрес </w:t>
      </w:r>
      <w:r w:rsidRPr="00562DE4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220029, г. Минск, ул. Чичерина 21</w:t>
      </w:r>
    </w:p>
    <w:p w:rsidR="00562DE4" w:rsidRPr="00562DE4" w:rsidRDefault="00562DE4" w:rsidP="00562DE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2DE4">
        <w:rPr>
          <w:rFonts w:ascii="Times New Roman" w:eastAsiaTheme="minorEastAsia" w:hAnsi="Times New Roman"/>
          <w:sz w:val="24"/>
          <w:szCs w:val="24"/>
          <w:lang w:eastAsia="ru-RU"/>
        </w:rPr>
        <w:t xml:space="preserve">1.4. адрес сайта в глобальной компьютерной сети Интернет </w:t>
      </w:r>
      <w:r w:rsidR="00CE02F4" w:rsidRPr="00CE02F4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www.mintrans.gov.by</w:t>
      </w:r>
    </w:p>
    <w:p w:rsidR="00562DE4" w:rsidRPr="00CE02F4" w:rsidRDefault="00562DE4" w:rsidP="00562DE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 w:rsidRPr="00562DE4">
        <w:rPr>
          <w:rFonts w:ascii="Times New Roman" w:eastAsiaTheme="minorEastAsia" w:hAnsi="Times New Roman"/>
          <w:sz w:val="24"/>
          <w:szCs w:val="24"/>
          <w:lang w:eastAsia="ru-RU"/>
        </w:rPr>
        <w:t xml:space="preserve">1.5. адрес электронной почты </w:t>
      </w:r>
      <w:r w:rsidR="00CE02F4" w:rsidRPr="00CE02F4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mail@mintrans.gov.by</w:t>
      </w:r>
    </w:p>
    <w:p w:rsidR="00562DE4" w:rsidRPr="00562DE4" w:rsidRDefault="00562DE4" w:rsidP="00562DE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2DE4">
        <w:rPr>
          <w:rFonts w:ascii="Times New Roman" w:eastAsiaTheme="minorEastAsia" w:hAnsi="Times New Roman"/>
          <w:sz w:val="24"/>
          <w:szCs w:val="24"/>
          <w:lang w:eastAsia="ru-RU"/>
        </w:rPr>
        <w:t>2. Сведения о конкурсе:</w:t>
      </w:r>
    </w:p>
    <w:p w:rsidR="00562DE4" w:rsidRPr="00562DE4" w:rsidRDefault="00562DE4" w:rsidP="00562DE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2DE4">
        <w:rPr>
          <w:rFonts w:ascii="Times New Roman" w:eastAsiaTheme="minorEastAsia" w:hAnsi="Times New Roman"/>
          <w:sz w:val="24"/>
          <w:szCs w:val="24"/>
          <w:lang w:eastAsia="ru-RU"/>
        </w:rPr>
        <w:t xml:space="preserve">2.1. дата проведения конкурса </w:t>
      </w:r>
      <w:r w:rsidR="00633616" w:rsidRPr="00633616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2 марта 2023 г. </w:t>
      </w:r>
    </w:p>
    <w:p w:rsidR="00562DE4" w:rsidRPr="00562DE4" w:rsidRDefault="00562DE4" w:rsidP="00562DE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2DE4">
        <w:rPr>
          <w:rFonts w:ascii="Times New Roman" w:eastAsiaTheme="minorEastAsia" w:hAnsi="Times New Roman"/>
          <w:sz w:val="24"/>
          <w:szCs w:val="24"/>
          <w:lang w:eastAsia="ru-RU"/>
        </w:rPr>
        <w:t xml:space="preserve">2.2. время проведения конкурса </w:t>
      </w:r>
      <w:r w:rsidR="00633616" w:rsidRPr="00633616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10:00</w:t>
      </w:r>
    </w:p>
    <w:p w:rsidR="00562DE4" w:rsidRPr="00562DE4" w:rsidRDefault="00562DE4" w:rsidP="00562DE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2DE4">
        <w:rPr>
          <w:rFonts w:ascii="Times New Roman" w:eastAsiaTheme="minorEastAsia" w:hAnsi="Times New Roman"/>
          <w:sz w:val="24"/>
          <w:szCs w:val="24"/>
          <w:lang w:eastAsia="ru-RU"/>
        </w:rPr>
        <w:t xml:space="preserve">2.3. место проведения конкурса </w:t>
      </w:r>
      <w:r w:rsidR="00633616" w:rsidRPr="00562DE4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г. Минск, ул. Чичерина 21</w:t>
      </w:r>
    </w:p>
    <w:p w:rsidR="00562DE4" w:rsidRPr="00562DE4" w:rsidRDefault="00562DE4" w:rsidP="00562DE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2DE4">
        <w:rPr>
          <w:rFonts w:ascii="Times New Roman" w:eastAsiaTheme="minorEastAsia" w:hAnsi="Times New Roman"/>
          <w:sz w:val="24"/>
          <w:szCs w:val="24"/>
          <w:lang w:eastAsia="ru-RU"/>
        </w:rPr>
        <w:t>2.4. предмет конкурса: право на заключение договора на реализацию мероприятия;</w:t>
      </w:r>
    </w:p>
    <w:p w:rsidR="00562DE4" w:rsidRPr="00562DE4" w:rsidRDefault="00562DE4" w:rsidP="00562DE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2DE4">
        <w:rPr>
          <w:rFonts w:ascii="Times New Roman" w:eastAsiaTheme="minorEastAsia" w:hAnsi="Times New Roman"/>
          <w:sz w:val="24"/>
          <w:szCs w:val="24"/>
          <w:lang w:eastAsia="ru-RU"/>
        </w:rPr>
        <w:t xml:space="preserve">2.5. порядок проведения конкурса: конкурс проводится в порядке, определенном </w:t>
      </w:r>
      <w:r w:rsidR="00CE02F4" w:rsidRPr="00CE02F4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Постановление Министерства транспорта и коммуникаций Республики Беларусь </w:t>
      </w:r>
      <w:r w:rsidR="00CE02F4" w:rsidRPr="00CE02F4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br/>
        <w:t>«Об утверждении Инструкции о порядке проведения конкурсов по выбору исполнителей мероприятий государственных программ» от 21 сентября 2017 г. № 30-П.</w:t>
      </w:r>
    </w:p>
    <w:p w:rsidR="00562DE4" w:rsidRPr="00562DE4" w:rsidRDefault="00562DE4" w:rsidP="00562DE4">
      <w:pPr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62DE4">
        <w:rPr>
          <w:rFonts w:ascii="Times New Roman" w:eastAsiaTheme="minorEastAsia" w:hAnsi="Times New Roman"/>
          <w:sz w:val="20"/>
          <w:szCs w:val="20"/>
          <w:lang w:eastAsia="ru-RU"/>
        </w:rPr>
        <w:t>(вид, название, дата и номер нормативного правового акта)</w:t>
      </w:r>
    </w:p>
    <w:p w:rsidR="00562DE4" w:rsidRPr="00562DE4" w:rsidRDefault="00562DE4" w:rsidP="00562DE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2DE4">
        <w:rPr>
          <w:rFonts w:ascii="Times New Roman" w:eastAsiaTheme="minorEastAsia" w:hAnsi="Times New Roman"/>
          <w:sz w:val="24"/>
          <w:szCs w:val="24"/>
          <w:lang w:eastAsia="ru-RU"/>
        </w:rPr>
        <w:t>заказчика государственной программы (подпрограммы), определяющего порядок проведения конкурсов)</w:t>
      </w:r>
    </w:p>
    <w:p w:rsidR="00562DE4" w:rsidRPr="00562DE4" w:rsidRDefault="00562DE4" w:rsidP="00562DE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2DE4">
        <w:rPr>
          <w:rFonts w:ascii="Times New Roman" w:eastAsiaTheme="minorEastAsia" w:hAnsi="Times New Roman"/>
          <w:sz w:val="24"/>
          <w:szCs w:val="24"/>
          <w:lang w:eastAsia="ru-RU"/>
        </w:rPr>
        <w:t>2.6. иная информация __________________________________________________________</w:t>
      </w:r>
    </w:p>
    <w:p w:rsidR="00562DE4" w:rsidRPr="00562DE4" w:rsidRDefault="00562DE4" w:rsidP="00562DE4">
      <w:pPr>
        <w:spacing w:after="0" w:line="240" w:lineRule="auto"/>
        <w:ind w:left="396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62DE4">
        <w:rPr>
          <w:rFonts w:ascii="Times New Roman" w:eastAsiaTheme="minorEastAsia" w:hAnsi="Times New Roman"/>
          <w:sz w:val="20"/>
          <w:szCs w:val="20"/>
          <w:lang w:eastAsia="ru-RU"/>
        </w:rPr>
        <w:t>(при наличии такой информации)</w:t>
      </w:r>
    </w:p>
    <w:p w:rsidR="00562DE4" w:rsidRPr="00562DE4" w:rsidRDefault="00562DE4" w:rsidP="00562DE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2DE4">
        <w:rPr>
          <w:rFonts w:ascii="Times New Roman" w:eastAsiaTheme="minorEastAsia" w:hAnsi="Times New Roman"/>
          <w:sz w:val="24"/>
          <w:szCs w:val="24"/>
          <w:lang w:eastAsia="ru-RU"/>
        </w:rPr>
        <w:t>3. Сведения о мероприятии:</w:t>
      </w:r>
    </w:p>
    <w:p w:rsidR="00562DE4" w:rsidRPr="00562DE4" w:rsidRDefault="00562DE4" w:rsidP="00562DE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2DE4">
        <w:rPr>
          <w:rFonts w:ascii="Times New Roman" w:eastAsiaTheme="minorEastAsia" w:hAnsi="Times New Roman"/>
          <w:sz w:val="24"/>
          <w:szCs w:val="24"/>
          <w:lang w:eastAsia="ru-RU"/>
        </w:rPr>
        <w:t xml:space="preserve">3.1. наименование государственной программы </w:t>
      </w:r>
      <w:r w:rsidR="00C04F93" w:rsidRPr="00C04F9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«Транспортный комплекс» 2021</w:t>
      </w:r>
      <w:r w:rsidR="00D52979" w:rsidRPr="00D52979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–</w:t>
      </w:r>
      <w:r w:rsidR="00C04F93" w:rsidRPr="00C04F9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2025 год</w:t>
      </w:r>
      <w:r w:rsidR="00C04F9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.</w:t>
      </w:r>
    </w:p>
    <w:p w:rsidR="00562DE4" w:rsidRPr="00C04F93" w:rsidRDefault="00562DE4" w:rsidP="00562DE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 w:rsidRPr="00562DE4">
        <w:rPr>
          <w:rFonts w:ascii="Times New Roman" w:eastAsiaTheme="minorEastAsia" w:hAnsi="Times New Roman"/>
          <w:sz w:val="24"/>
          <w:szCs w:val="24"/>
          <w:lang w:eastAsia="ru-RU"/>
        </w:rPr>
        <w:t xml:space="preserve">3.2. наименование подпрограммы </w:t>
      </w:r>
      <w:r w:rsidR="00C04F93" w:rsidRPr="00C04F9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Подпрограмма 5. «Обеспечение функционирования транспортного комплекса»</w:t>
      </w:r>
      <w:r w:rsidR="00C04F9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.</w:t>
      </w:r>
    </w:p>
    <w:p w:rsidR="00562DE4" w:rsidRPr="00562DE4" w:rsidRDefault="00562DE4" w:rsidP="00513E38">
      <w:pPr>
        <w:spacing w:after="0" w:line="240" w:lineRule="auto"/>
        <w:ind w:left="1276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62DE4">
        <w:rPr>
          <w:rFonts w:ascii="Times New Roman" w:eastAsiaTheme="minorEastAsia" w:hAnsi="Times New Roman"/>
          <w:sz w:val="20"/>
          <w:szCs w:val="20"/>
          <w:lang w:eastAsia="ru-RU"/>
        </w:rPr>
        <w:t>(при ее наличии)</w:t>
      </w:r>
    </w:p>
    <w:p w:rsidR="00562DE4" w:rsidRPr="00562DE4" w:rsidRDefault="00562DE4" w:rsidP="00562DE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2DE4">
        <w:rPr>
          <w:rFonts w:ascii="Times New Roman" w:eastAsiaTheme="minorEastAsia" w:hAnsi="Times New Roman"/>
          <w:sz w:val="24"/>
          <w:szCs w:val="24"/>
          <w:lang w:eastAsia="ru-RU"/>
        </w:rPr>
        <w:t>3.3. задача (задачи) государственной программы (подпрограммы) _____________________</w:t>
      </w:r>
    </w:p>
    <w:p w:rsidR="00562DE4" w:rsidRPr="00562DE4" w:rsidRDefault="00562DE4" w:rsidP="00562DE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2DE4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2DE4" w:rsidRPr="00562DE4" w:rsidRDefault="00562DE4" w:rsidP="00562DE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2DE4">
        <w:rPr>
          <w:rFonts w:ascii="Times New Roman" w:eastAsiaTheme="minorEastAsia" w:hAnsi="Times New Roman"/>
          <w:sz w:val="24"/>
          <w:szCs w:val="24"/>
          <w:lang w:eastAsia="ru-RU"/>
        </w:rPr>
        <w:t xml:space="preserve">3.4. название мероприятия </w:t>
      </w:r>
      <w:r w:rsidR="00F47942" w:rsidRPr="00F47942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Информационное обеспечение инвестиционной деятельности Министерства транспорта и коммуникаций Республики Беларусь</w:t>
      </w:r>
      <w:r w:rsidR="00C04F9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.</w:t>
      </w:r>
    </w:p>
    <w:p w:rsidR="00562DE4" w:rsidRPr="00562DE4" w:rsidRDefault="00562DE4" w:rsidP="00562DE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2DE4">
        <w:rPr>
          <w:rFonts w:ascii="Times New Roman" w:eastAsiaTheme="minorEastAsia" w:hAnsi="Times New Roman"/>
          <w:sz w:val="24"/>
          <w:szCs w:val="24"/>
          <w:lang w:eastAsia="ru-RU"/>
        </w:rPr>
        <w:t xml:space="preserve">3.5. возможность осуществления реализации мероприятия частично (несколькими исполнителями мероприятия) </w:t>
      </w:r>
      <w:r w:rsidR="008A0C80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____________________________________________________</w:t>
      </w:r>
    </w:p>
    <w:p w:rsidR="00562DE4" w:rsidRPr="00562DE4" w:rsidRDefault="00562DE4" w:rsidP="00562DE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2DE4">
        <w:rPr>
          <w:rFonts w:ascii="Times New Roman" w:eastAsiaTheme="minorEastAsia" w:hAnsi="Times New Roman"/>
          <w:sz w:val="24"/>
          <w:szCs w:val="24"/>
          <w:lang w:eastAsia="ru-RU"/>
        </w:rPr>
        <w:t>3.6. условия выполнения мероприятия:</w:t>
      </w:r>
    </w:p>
    <w:p w:rsidR="008A0C80" w:rsidRPr="001A120B" w:rsidRDefault="00562DE4" w:rsidP="00562DE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 w:rsidRPr="00562DE4">
        <w:rPr>
          <w:rFonts w:ascii="Times New Roman" w:eastAsiaTheme="minorEastAsia" w:hAnsi="Times New Roman"/>
          <w:sz w:val="24"/>
          <w:szCs w:val="24"/>
          <w:lang w:eastAsia="ru-RU"/>
        </w:rPr>
        <w:t xml:space="preserve">3.6.1. ожидаемые результаты реализации </w:t>
      </w:r>
      <w:r w:rsidRPr="009E752F">
        <w:rPr>
          <w:rFonts w:ascii="Times New Roman" w:eastAsiaTheme="minorEastAsia" w:hAnsi="Times New Roman"/>
          <w:sz w:val="24"/>
          <w:szCs w:val="24"/>
          <w:lang w:eastAsia="ru-RU"/>
        </w:rPr>
        <w:t>мероприятия</w:t>
      </w:r>
      <w:r w:rsidR="00F47942" w:rsidRPr="009E752F">
        <w:rPr>
          <w:rFonts w:ascii="Times New Roman" w:eastAsiaTheme="minorEastAsia" w:hAnsi="Times New Roman"/>
          <w:sz w:val="24"/>
          <w:szCs w:val="24"/>
          <w:lang w:eastAsia="ru-RU"/>
        </w:rPr>
        <w:t>:</w:t>
      </w:r>
      <w:r w:rsidRPr="001A120B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</w:t>
      </w:r>
      <w:r w:rsidR="00F72EBA" w:rsidRPr="001A120B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Презентация</w:t>
      </w:r>
      <w:r w:rsidR="00F47942" w:rsidRPr="001A120B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потенциал</w:t>
      </w:r>
      <w:r w:rsidR="00F72EBA" w:rsidRPr="001A120B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а</w:t>
      </w:r>
      <w:r w:rsidR="00F47942" w:rsidRPr="001A120B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транспортного комплекса Республики Беларусь, транзитных и транспортно-логист</w:t>
      </w:r>
      <w:r w:rsidR="008A0C80" w:rsidRPr="001A120B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ических возможностей республики на следующих международных выставках</w:t>
      </w:r>
      <w:r w:rsidR="002C01BB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и мероприятиях</w:t>
      </w:r>
      <w:r w:rsidR="008A0C80" w:rsidRPr="001A120B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:</w:t>
      </w:r>
    </w:p>
    <w:p w:rsidR="008A0C80" w:rsidRDefault="007A338C" w:rsidP="007A338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 w:rsidRPr="007A338C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Каспийская международная выставка </w:t>
      </w:r>
      <w:r w:rsidR="002679D2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«Т</w:t>
      </w:r>
      <w:r w:rsidRPr="007A338C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ранспорт, </w:t>
      </w:r>
      <w:r w:rsidR="002679D2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Т</w:t>
      </w:r>
      <w:r w:rsidRPr="007A338C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ранзит и </w:t>
      </w:r>
      <w:r w:rsidR="002679D2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Л</w:t>
      </w:r>
      <w:r w:rsidRPr="007A338C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огистик</w:t>
      </w:r>
      <w:r w:rsidR="002679D2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а»</w:t>
      </w:r>
      <w:r w:rsidRPr="007A338C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</w:t>
      </w:r>
      <w:r w:rsidR="002679D2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– </w:t>
      </w:r>
      <w:r w:rsidRPr="007A338C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«</w:t>
      </w:r>
      <w:proofErr w:type="spellStart"/>
      <w:r w:rsidRPr="007A338C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TransLogistica</w:t>
      </w:r>
      <w:proofErr w:type="spellEnd"/>
      <w:r w:rsidRPr="007A338C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7A338C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Caspian</w:t>
      </w:r>
      <w:proofErr w:type="spellEnd"/>
      <w:r w:rsidRPr="007A338C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» (г. Баку, Азербайджан, 31 мая–2 июня 2023 г.)</w:t>
      </w:r>
      <w:r w:rsidR="008A0C80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;</w:t>
      </w:r>
    </w:p>
    <w:p w:rsidR="00FE437B" w:rsidRDefault="00FE437B" w:rsidP="008A0C8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 w:rsidRPr="00FE437B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Сессия Советов КТС СНГ (май 202</w:t>
      </w:r>
      <w:r w:rsidR="007A338C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3</w:t>
      </w:r>
      <w:r w:rsidRPr="00FE437B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года)</w:t>
      </w:r>
      <w:r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;</w:t>
      </w:r>
    </w:p>
    <w:p w:rsidR="007A338C" w:rsidRDefault="007A338C" w:rsidP="008A0C8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 w:rsidRPr="007A338C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Международная выставка по гражданскому судостроению, судоходству, деятельности портов и освоению океана и шельфа «НЕВА 2023» (г. Санкт-Петербург, Россия, 19–22 сентября 2023 г.)</w:t>
      </w:r>
      <w:r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;</w:t>
      </w:r>
    </w:p>
    <w:p w:rsidR="008A0C80" w:rsidRPr="008A0C80" w:rsidRDefault="007A338C" w:rsidP="008A0C8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Мероприятия </w:t>
      </w:r>
      <w:r w:rsidR="002C01BB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Белорусск</w:t>
      </w:r>
      <w:r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ой</w:t>
      </w:r>
      <w:r w:rsidR="002C01BB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транспортн</w:t>
      </w:r>
      <w:r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ой</w:t>
      </w:r>
      <w:r w:rsidR="002C01BB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недел</w:t>
      </w:r>
      <w:r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и</w:t>
      </w:r>
      <w:r w:rsidR="00313F6E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</w:t>
      </w:r>
      <w:r w:rsidR="008A0C80" w:rsidRPr="008A0C80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(</w:t>
      </w:r>
      <w:r w:rsidR="008A0C80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Беларусь, октябрь 202</w:t>
      </w:r>
      <w:r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3</w:t>
      </w:r>
      <w:r w:rsidR="008A0C80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г.);</w:t>
      </w:r>
    </w:p>
    <w:p w:rsidR="008A0C80" w:rsidRDefault="002679D2" w:rsidP="008A0C8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Казахстанская м</w:t>
      </w:r>
      <w:r w:rsidR="007A338C" w:rsidRPr="007A338C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еждународная выставка «Транспорт и Логистика» – </w:t>
      </w:r>
      <w:r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«</w:t>
      </w:r>
      <w:proofErr w:type="spellStart"/>
      <w:r w:rsidR="007A338C" w:rsidRPr="007A338C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TransLogistica</w:t>
      </w:r>
      <w:proofErr w:type="spellEnd"/>
      <w:r w:rsidR="007A338C" w:rsidRPr="007A338C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7A338C" w:rsidRPr="007A338C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Kazakhstan</w:t>
      </w:r>
      <w:proofErr w:type="spellEnd"/>
      <w:r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»</w:t>
      </w:r>
      <w:r w:rsidR="007A338C" w:rsidRPr="007A338C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(г.</w:t>
      </w:r>
      <w:r w:rsidR="007A338C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 </w:t>
      </w:r>
      <w:r w:rsidR="007A338C" w:rsidRPr="007A338C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Алматы, Казахстан, 4–6 октября 2023 г.)</w:t>
      </w:r>
      <w:r w:rsidR="007A338C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;</w:t>
      </w:r>
    </w:p>
    <w:p w:rsidR="007A338C" w:rsidRPr="008A0C80" w:rsidRDefault="007A338C" w:rsidP="008A0C8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 w:rsidRPr="007A338C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Международная выставка транспорта и логистики «</w:t>
      </w:r>
      <w:proofErr w:type="spellStart"/>
      <w:r w:rsidRPr="007A338C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Logitrans</w:t>
      </w:r>
      <w:proofErr w:type="spellEnd"/>
      <w:r w:rsidRPr="007A338C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2023» (г. Стамбул, Турция, </w:t>
      </w:r>
      <w:r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 </w:t>
      </w:r>
      <w:r w:rsidRPr="007A338C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15-17 ноября 2023 г.)</w:t>
      </w:r>
    </w:p>
    <w:p w:rsidR="00562DE4" w:rsidRPr="00562DE4" w:rsidRDefault="00562DE4" w:rsidP="00562DE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2DE4">
        <w:rPr>
          <w:rFonts w:ascii="Times New Roman" w:eastAsiaTheme="minorEastAsia" w:hAnsi="Times New Roman"/>
          <w:sz w:val="24"/>
          <w:szCs w:val="24"/>
          <w:lang w:eastAsia="ru-RU"/>
        </w:rPr>
        <w:t>3.6.2. начальный (при необходимости) и конечный срок реализации мероприятия</w:t>
      </w:r>
      <w:r w:rsidR="00C04F9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C04F93">
        <w:rPr>
          <w:rFonts w:ascii="Times New Roman" w:eastAsiaTheme="minorEastAsia" w:hAnsi="Times New Roman"/>
          <w:sz w:val="24"/>
          <w:szCs w:val="24"/>
          <w:lang w:eastAsia="ru-RU"/>
        </w:rPr>
        <w:br/>
      </w:r>
      <w:r w:rsidR="007A338C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апрель</w:t>
      </w:r>
      <w:r w:rsidR="002C01BB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202</w:t>
      </w:r>
      <w:r w:rsidR="007A338C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3</w:t>
      </w:r>
      <w:r w:rsidR="002C01BB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г. – </w:t>
      </w:r>
      <w:r w:rsidR="007A338C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но</w:t>
      </w:r>
      <w:r w:rsidR="002C01BB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ябрь</w:t>
      </w:r>
      <w:r w:rsidR="00F72EBA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202</w:t>
      </w:r>
      <w:r w:rsidR="007A338C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3</w:t>
      </w:r>
      <w:r w:rsidR="00C04F93" w:rsidRPr="00C04F9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г.</w:t>
      </w:r>
    </w:p>
    <w:p w:rsidR="00562DE4" w:rsidRPr="00562DE4" w:rsidRDefault="00562DE4" w:rsidP="00562DE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2DE4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3.6.3. иные условия выполнения мероприятия _</w:t>
      </w:r>
      <w:r w:rsidR="00830CEC" w:rsidRPr="00830CEC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формирование пакета регистрационных д</w:t>
      </w:r>
      <w:r w:rsidR="00830CEC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окументов для участия в выставках</w:t>
      </w:r>
      <w:r w:rsidR="00313F6E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и мероприятиях</w:t>
      </w:r>
      <w:r w:rsidR="00830CEC" w:rsidRPr="00830CEC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, </w:t>
      </w:r>
      <w:r w:rsidR="00A12ED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сбор и подготовка презентационных материалов, </w:t>
      </w:r>
      <w:r w:rsidR="00830CEC" w:rsidRPr="00830CEC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изготовление информационно-раздаточного материала по тематике выставки,  подготовка дизайна для оформления </w:t>
      </w:r>
      <w:r w:rsidR="00830CEC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выставочной </w:t>
      </w:r>
      <w:r w:rsidR="00830CEC" w:rsidRPr="00830CEC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экспозиции, застройка и оборудование выставочной экспозиции на арендуемой выставочной площади</w:t>
      </w:r>
      <w:r w:rsidR="00F977A0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(</w:t>
      </w:r>
      <w:r w:rsidR="007A338C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24</w:t>
      </w:r>
      <w:r w:rsidR="00F977A0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-</w:t>
      </w:r>
      <w:r w:rsidR="007A338C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56</w:t>
      </w:r>
      <w:r w:rsidR="00F977A0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 м2)</w:t>
      </w:r>
      <w:r w:rsidR="00830CEC" w:rsidRPr="00830CEC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, установка и настройка мультимедийного оборудования</w:t>
      </w:r>
      <w:r w:rsidR="00830CEC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на выставочном стенде</w:t>
      </w:r>
      <w:r w:rsidR="00830CEC" w:rsidRPr="00830CEC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, осуществление</w:t>
      </w:r>
      <w:r w:rsidR="00830CEC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информационного сопровождения выставочной экспозиции</w:t>
      </w:r>
      <w:r w:rsidR="00830CEC" w:rsidRPr="00830CEC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в период проведения выставки</w:t>
      </w:r>
      <w:r w:rsidR="00E53D24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, организация </w:t>
      </w:r>
      <w:r w:rsidR="007A338C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проведения </w:t>
      </w:r>
      <w:r w:rsidR="00E53D24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отдельных мероприятий в рамках проведения </w:t>
      </w:r>
      <w:r w:rsidR="00E53D24" w:rsidRPr="00E53D24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Сесси</w:t>
      </w:r>
      <w:r w:rsidR="00E53D24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и</w:t>
      </w:r>
      <w:r w:rsidR="00E53D24" w:rsidRPr="00E53D24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Советов КТС СНГ</w:t>
      </w:r>
      <w:r w:rsidR="00E53D24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и Белорусской транспортной недели</w:t>
      </w:r>
      <w:r w:rsidR="00E53D24" w:rsidRPr="00E53D24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</w:t>
      </w:r>
      <w:r w:rsidR="00E53D24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по согласованию с Министерством транспорта и коммуникаций Республики Беларусь</w:t>
      </w:r>
      <w:r w:rsidRPr="00562DE4">
        <w:rPr>
          <w:rFonts w:ascii="Times New Roman" w:eastAsiaTheme="minorEastAsia" w:hAnsi="Times New Roman"/>
          <w:sz w:val="24"/>
          <w:szCs w:val="24"/>
          <w:lang w:eastAsia="ru-RU"/>
        </w:rPr>
        <w:t>_____</w:t>
      </w:r>
      <w:r w:rsidR="00A12ED3">
        <w:rPr>
          <w:rFonts w:ascii="Times New Roman" w:eastAsiaTheme="minorEastAsia" w:hAnsi="Times New Roman"/>
          <w:sz w:val="24"/>
          <w:szCs w:val="24"/>
          <w:lang w:eastAsia="ru-RU"/>
        </w:rPr>
        <w:t>_________________________</w:t>
      </w:r>
    </w:p>
    <w:p w:rsidR="00562DE4" w:rsidRPr="00562DE4" w:rsidRDefault="00562DE4" w:rsidP="00562DE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2DE4">
        <w:rPr>
          <w:rFonts w:ascii="Times New Roman" w:eastAsiaTheme="minorEastAsia" w:hAnsi="Times New Roman"/>
          <w:sz w:val="24"/>
          <w:szCs w:val="24"/>
          <w:lang w:eastAsia="ru-RU"/>
        </w:rPr>
        <w:t>3.7. финансирование мероприятия:</w:t>
      </w:r>
    </w:p>
    <w:p w:rsidR="00562DE4" w:rsidRPr="00562DE4" w:rsidRDefault="00F72EBA" w:rsidP="00562DE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3.7.1. источник финансирования </w:t>
      </w:r>
      <w:r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В</w:t>
      </w:r>
      <w:r w:rsidRPr="00F72EBA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небюджетный централизованный инвестиционный фонд</w:t>
      </w:r>
      <w:r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</w:t>
      </w:r>
      <w:r w:rsidRPr="00F72EBA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Министерства транспорта и коммуникаций Республики Беларусь</w:t>
      </w:r>
    </w:p>
    <w:p w:rsidR="00562DE4" w:rsidRPr="00562DE4" w:rsidRDefault="00562DE4" w:rsidP="00562DE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2DE4">
        <w:rPr>
          <w:rFonts w:ascii="Times New Roman" w:eastAsiaTheme="minorEastAsia" w:hAnsi="Times New Roman"/>
          <w:sz w:val="24"/>
          <w:szCs w:val="24"/>
          <w:lang w:eastAsia="ru-RU"/>
        </w:rPr>
        <w:t xml:space="preserve">3.7.2. размер финансирования в соответствии с актами законодательства, регулирующими вопросы финансирования </w:t>
      </w:r>
      <w:r w:rsidR="007A338C" w:rsidRPr="00F62E2F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613</w:t>
      </w:r>
      <w:r w:rsidR="00F72EBA" w:rsidRPr="00F62E2F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</w:t>
      </w:r>
      <w:r w:rsidR="008F6671" w:rsidRPr="00F62E2F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29</w:t>
      </w:r>
      <w:r w:rsidR="00C04F93" w:rsidRPr="00F62E2F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0,00 руб.</w:t>
      </w:r>
    </w:p>
    <w:p w:rsidR="00562DE4" w:rsidRPr="00562DE4" w:rsidRDefault="00562DE4" w:rsidP="00C04F93">
      <w:pPr>
        <w:spacing w:after="0" w:line="240" w:lineRule="auto"/>
        <w:ind w:left="2694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62DE4">
        <w:rPr>
          <w:rFonts w:ascii="Times New Roman" w:eastAsiaTheme="minorEastAsia" w:hAnsi="Times New Roman"/>
          <w:sz w:val="20"/>
          <w:szCs w:val="20"/>
          <w:lang w:eastAsia="ru-RU"/>
        </w:rPr>
        <w:t>(сумма бюджетных средств)</w:t>
      </w:r>
    </w:p>
    <w:p w:rsidR="00562DE4" w:rsidRPr="00562DE4" w:rsidRDefault="00562DE4" w:rsidP="00562DE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2DE4">
        <w:rPr>
          <w:rFonts w:ascii="Times New Roman" w:eastAsiaTheme="minorEastAsia" w:hAnsi="Times New Roman"/>
          <w:sz w:val="24"/>
          <w:szCs w:val="24"/>
          <w:lang w:eastAsia="ru-RU"/>
        </w:rPr>
        <w:t>4. Сведения об оформлении участия в конкурсе:</w:t>
      </w:r>
    </w:p>
    <w:p w:rsidR="00562DE4" w:rsidRPr="00562DE4" w:rsidRDefault="00562DE4" w:rsidP="00562DE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2DE4">
        <w:rPr>
          <w:rFonts w:ascii="Times New Roman" w:eastAsiaTheme="minorEastAsia" w:hAnsi="Times New Roman"/>
          <w:sz w:val="24"/>
          <w:szCs w:val="24"/>
          <w:lang w:eastAsia="ru-RU"/>
        </w:rPr>
        <w:t>4.1. требования к участникам: в конкурсе могут участвовать юридические лица и индивидуальные предприниматели, за исключением случаев, указанных в абзацах пятом</w:t>
      </w:r>
      <w:r w:rsidR="00C04F9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562DE4">
        <w:rPr>
          <w:rFonts w:ascii="Times New Roman" w:eastAsiaTheme="minorEastAsia" w:hAnsi="Times New Roman"/>
          <w:sz w:val="24"/>
          <w:szCs w:val="24"/>
          <w:lang w:eastAsia="ru-RU"/>
        </w:rPr>
        <w:t>– восьмом части третьей пункта 18 Положения о порядке формирования, финансирования, выполнения и оценки эффективности реализации государственных программ;</w:t>
      </w:r>
    </w:p>
    <w:p w:rsidR="00562DE4" w:rsidRPr="00562DE4" w:rsidRDefault="00562DE4" w:rsidP="00562DE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2DE4">
        <w:rPr>
          <w:rFonts w:ascii="Times New Roman" w:eastAsiaTheme="minorEastAsia" w:hAnsi="Times New Roman"/>
          <w:sz w:val="24"/>
          <w:szCs w:val="24"/>
          <w:lang w:eastAsia="ru-RU"/>
        </w:rPr>
        <w:t>4.2. юридическое лицо, индивидуальный предприниматель заявляют о своем участии в конкурсе путем подачи организатору конкурса посредством почтовой связи в виде регистрируемого почтового отправления заявки на участие в конкурсе, состоящей из:</w:t>
      </w:r>
    </w:p>
    <w:p w:rsidR="00562DE4" w:rsidRPr="00562DE4" w:rsidRDefault="00562DE4" w:rsidP="00562DE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2DE4">
        <w:rPr>
          <w:rFonts w:ascii="Times New Roman" w:eastAsiaTheme="minorEastAsia" w:hAnsi="Times New Roman"/>
          <w:sz w:val="24"/>
          <w:szCs w:val="24"/>
          <w:lang w:eastAsia="ru-RU"/>
        </w:rPr>
        <w:t>4.2.1. заявления на участие в конкурсе;</w:t>
      </w:r>
    </w:p>
    <w:p w:rsidR="00562DE4" w:rsidRPr="00562DE4" w:rsidRDefault="00562DE4" w:rsidP="00562DE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2DE4">
        <w:rPr>
          <w:rFonts w:ascii="Times New Roman" w:eastAsiaTheme="minorEastAsia" w:hAnsi="Times New Roman"/>
          <w:sz w:val="24"/>
          <w:szCs w:val="24"/>
          <w:lang w:eastAsia="ru-RU"/>
        </w:rPr>
        <w:t>4.2.2. документов (копий документов), прилагаемых к заявлению на участие в конкурсе;</w:t>
      </w:r>
    </w:p>
    <w:p w:rsidR="00A5618B" w:rsidRDefault="00562DE4" w:rsidP="00562DE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2DE4">
        <w:rPr>
          <w:rFonts w:ascii="Times New Roman" w:eastAsiaTheme="minorEastAsia" w:hAnsi="Times New Roman"/>
          <w:sz w:val="24"/>
          <w:szCs w:val="24"/>
          <w:lang w:eastAsia="ru-RU"/>
        </w:rPr>
        <w:t>4.3. перечень документов (копий документов), прилагаемых к заявлению на участие в конкурсе</w:t>
      </w:r>
      <w:r w:rsidR="00A5618B">
        <w:rPr>
          <w:rFonts w:ascii="Times New Roman" w:eastAsiaTheme="minorEastAsia" w:hAnsi="Times New Roman"/>
          <w:sz w:val="24"/>
          <w:szCs w:val="24"/>
          <w:lang w:eastAsia="ru-RU"/>
        </w:rPr>
        <w:t>:</w:t>
      </w:r>
      <w:r w:rsidRPr="00562DE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A5618B" w:rsidRPr="00AA3AA8" w:rsidRDefault="005B7A15" w:rsidP="00562DE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 w:rsidRPr="00AA3AA8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- с</w:t>
      </w:r>
      <w:r w:rsidR="00A5618B" w:rsidRPr="00AA3AA8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видетельств</w:t>
      </w:r>
      <w:r w:rsidRPr="00AA3AA8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о</w:t>
      </w:r>
      <w:r w:rsidR="00A5618B" w:rsidRPr="00AA3AA8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о регистрации </w:t>
      </w:r>
      <w:r w:rsidRPr="00AA3AA8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субъекта хозяйствования</w:t>
      </w:r>
      <w:r w:rsidR="00A5618B" w:rsidRPr="00AA3AA8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;</w:t>
      </w:r>
    </w:p>
    <w:p w:rsidR="00A5618B" w:rsidRPr="00AA3AA8" w:rsidRDefault="005B7A15" w:rsidP="00A5618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 w:rsidRPr="00AA3AA8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- з</w:t>
      </w:r>
      <w:r w:rsidR="00A5618B" w:rsidRPr="00AA3AA8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аявление что </w:t>
      </w:r>
      <w:r w:rsidRPr="00AA3AA8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на</w:t>
      </w:r>
      <w:r w:rsidRPr="00AA3AA8">
        <w:rPr>
          <w:u w:val="single"/>
        </w:rPr>
        <w:t xml:space="preserve"> </w:t>
      </w:r>
      <w:r w:rsidRPr="00AA3AA8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имущество субъекта хозяйствования не наложен арест</w:t>
      </w:r>
      <w:r w:rsidR="00A5618B" w:rsidRPr="00AA3AA8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;</w:t>
      </w:r>
    </w:p>
    <w:p w:rsidR="00A5618B" w:rsidRPr="00AA3AA8" w:rsidRDefault="005B7A15" w:rsidP="00A5618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 w:rsidRPr="00AA3AA8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- заявление что субъект хозяйствования не</w:t>
      </w:r>
      <w:r w:rsidR="00A5618B" w:rsidRPr="00AA3AA8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A5618B" w:rsidRDefault="005B7A15" w:rsidP="00A5618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 w:rsidRPr="00AA3AA8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- заявление что на субъект хозяйствования </w:t>
      </w:r>
      <w:r w:rsidR="00A5618B" w:rsidRPr="00AA3AA8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включен в список поставщиков (подрядчиков, исполнителей), временно не допускаемых к участию в процедурах государственных закупок</w:t>
      </w:r>
      <w:r w:rsidR="00206FF6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;</w:t>
      </w:r>
      <w:r w:rsidR="00C54594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</w:t>
      </w:r>
    </w:p>
    <w:p w:rsidR="00C54594" w:rsidRPr="00C54594" w:rsidRDefault="00C54594" w:rsidP="00A5618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54594">
        <w:rPr>
          <w:rFonts w:ascii="Times New Roman" w:eastAsiaTheme="minorEastAsia" w:hAnsi="Times New Roman"/>
          <w:sz w:val="24"/>
          <w:szCs w:val="24"/>
          <w:lang w:eastAsia="ru-RU"/>
        </w:rPr>
        <w:t>- </w:t>
      </w:r>
      <w:r w:rsidR="00D52979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информация об опыте по</w:t>
      </w:r>
      <w:r w:rsidR="00D91294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выполне</w:t>
      </w:r>
      <w:r w:rsidR="00D52979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нию</w:t>
      </w:r>
      <w:r w:rsidR="00960A3A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работ</w:t>
      </w:r>
      <w:r w:rsidR="001C5389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за последние </w:t>
      </w:r>
      <w:r w:rsidR="007A338C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семь</w:t>
      </w:r>
      <w:r w:rsidR="00D91294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(201</w:t>
      </w:r>
      <w:r w:rsidR="00E53D24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6</w:t>
      </w:r>
      <w:r w:rsidR="00D91294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-202</w:t>
      </w:r>
      <w:r w:rsidR="008B2948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2</w:t>
      </w:r>
      <w:r w:rsidR="00D91294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) лет</w:t>
      </w:r>
      <w:r w:rsidR="00206FF6" w:rsidRPr="00206FF6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по заданиям государственных органов (договорам с государственными органами) в области </w:t>
      </w:r>
      <w:r w:rsidR="00960A3A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информационного обеспечения</w:t>
      </w:r>
      <w:r w:rsidR="00960A3A" w:rsidRPr="00960A3A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инвестиционной деятельности, включая проведение </w:t>
      </w:r>
      <w:r w:rsidR="00960A3A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выставочных мероприятий</w:t>
      </w:r>
      <w:r w:rsidR="00206FF6" w:rsidRPr="00206FF6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.</w:t>
      </w:r>
    </w:p>
    <w:p w:rsidR="00562DE4" w:rsidRPr="00562DE4" w:rsidRDefault="00562DE4" w:rsidP="00AA3AA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2DE4">
        <w:rPr>
          <w:rFonts w:ascii="Times New Roman" w:eastAsiaTheme="minorEastAsia" w:hAnsi="Times New Roman"/>
          <w:sz w:val="24"/>
          <w:szCs w:val="24"/>
          <w:lang w:eastAsia="ru-RU"/>
        </w:rPr>
        <w:t xml:space="preserve">4.4. место (почтовый адрес) приема заявок на участие в конкурсе </w:t>
      </w:r>
      <w:r w:rsidR="00AA3AA8" w:rsidRPr="00562DE4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220029, г. Минск, ул.</w:t>
      </w:r>
      <w:r w:rsidR="00E53D24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 </w:t>
      </w:r>
      <w:r w:rsidR="00AA3AA8" w:rsidRPr="00562DE4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Чичерина 21</w:t>
      </w:r>
      <w:r w:rsidR="00AA3AA8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.</w:t>
      </w:r>
    </w:p>
    <w:p w:rsidR="00562DE4" w:rsidRPr="00562DE4" w:rsidRDefault="00562DE4" w:rsidP="00AA3AA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2DE4">
        <w:rPr>
          <w:rFonts w:ascii="Times New Roman" w:eastAsiaTheme="minorEastAsia" w:hAnsi="Times New Roman"/>
          <w:sz w:val="24"/>
          <w:szCs w:val="24"/>
          <w:lang w:eastAsia="ru-RU"/>
        </w:rPr>
        <w:t xml:space="preserve">4.5. дата конечного срока приема заявок на участие в конкурсе </w:t>
      </w:r>
      <w:r w:rsidR="00633616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1 марта </w:t>
      </w:r>
      <w:r w:rsidR="00633616" w:rsidRPr="00633616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2023</w:t>
      </w:r>
      <w:r w:rsidR="00633616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г.</w:t>
      </w:r>
      <w:r w:rsidR="00FB6CBB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             </w:t>
      </w:r>
    </w:p>
    <w:p w:rsidR="00562DE4" w:rsidRPr="00562DE4" w:rsidRDefault="00562DE4" w:rsidP="00562DE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2DE4">
        <w:rPr>
          <w:rFonts w:ascii="Times New Roman" w:eastAsiaTheme="minorEastAsia" w:hAnsi="Times New Roman"/>
          <w:sz w:val="24"/>
          <w:szCs w:val="24"/>
          <w:lang w:eastAsia="ru-RU"/>
        </w:rPr>
        <w:t>4.6. иная информация (сведения) ________________________________________________</w:t>
      </w:r>
    </w:p>
    <w:p w:rsidR="00562DE4" w:rsidRPr="00562DE4" w:rsidRDefault="00562DE4" w:rsidP="00562DE4">
      <w:pPr>
        <w:spacing w:after="0" w:line="240" w:lineRule="auto"/>
        <w:ind w:left="4253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62DE4">
        <w:rPr>
          <w:rFonts w:ascii="Times New Roman" w:eastAsiaTheme="minorEastAsia" w:hAnsi="Times New Roman"/>
          <w:sz w:val="20"/>
          <w:szCs w:val="20"/>
          <w:lang w:eastAsia="ru-RU"/>
        </w:rPr>
        <w:t>(при наличии такой информации (сведений)</w:t>
      </w:r>
    </w:p>
    <w:p w:rsidR="00562DE4" w:rsidRPr="00562DE4" w:rsidRDefault="00562DE4" w:rsidP="00562DE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2DE4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2DE4" w:rsidRPr="00562DE4" w:rsidRDefault="00562DE4" w:rsidP="00562DE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2DE4">
        <w:rPr>
          <w:rFonts w:ascii="Times New Roman" w:eastAsiaTheme="minorEastAsia" w:hAnsi="Times New Roman"/>
          <w:sz w:val="24"/>
          <w:szCs w:val="24"/>
          <w:lang w:eastAsia="ru-RU"/>
        </w:rPr>
        <w:t xml:space="preserve">5. Срок для отказа от конкурса: организатор конкурса вправе отказаться от проведения конкурса не позднее чем за </w:t>
      </w:r>
      <w:r w:rsidR="00633616" w:rsidRPr="00633616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5</w:t>
      </w:r>
      <w:r w:rsidRPr="00562DE4">
        <w:rPr>
          <w:rFonts w:ascii="Times New Roman" w:eastAsiaTheme="minorEastAsia" w:hAnsi="Times New Roman"/>
          <w:sz w:val="24"/>
          <w:szCs w:val="24"/>
          <w:lang w:eastAsia="ru-RU"/>
        </w:rPr>
        <w:t xml:space="preserve"> календарных дней до даты проведения конкурса.</w:t>
      </w:r>
    </w:p>
    <w:p w:rsidR="00562DE4" w:rsidRPr="00562DE4" w:rsidRDefault="00562DE4" w:rsidP="00562DE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2DE4">
        <w:rPr>
          <w:rFonts w:ascii="Times New Roman" w:eastAsiaTheme="minorEastAsia" w:hAnsi="Times New Roman"/>
          <w:sz w:val="24"/>
          <w:szCs w:val="24"/>
          <w:lang w:eastAsia="ru-RU"/>
        </w:rPr>
        <w:t>6. Сведения о задатке*:</w:t>
      </w:r>
    </w:p>
    <w:p w:rsidR="00562DE4" w:rsidRPr="00562DE4" w:rsidRDefault="00562DE4" w:rsidP="00562DE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2DE4">
        <w:rPr>
          <w:rFonts w:ascii="Times New Roman" w:eastAsiaTheme="minorEastAsia" w:hAnsi="Times New Roman"/>
          <w:sz w:val="24"/>
          <w:szCs w:val="24"/>
          <w:lang w:eastAsia="ru-RU"/>
        </w:rPr>
        <w:t>6.1. размер задатка ____________________________________________________________</w:t>
      </w:r>
    </w:p>
    <w:p w:rsidR="00562DE4" w:rsidRPr="00562DE4" w:rsidRDefault="00562DE4" w:rsidP="00562DE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2DE4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6.2. срок внесения задатка ______________________________________________________</w:t>
      </w:r>
    </w:p>
    <w:p w:rsidR="00562DE4" w:rsidRPr="00562DE4" w:rsidRDefault="00562DE4" w:rsidP="00562DE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2DE4">
        <w:rPr>
          <w:rFonts w:ascii="Times New Roman" w:eastAsiaTheme="minorEastAsia" w:hAnsi="Times New Roman"/>
          <w:sz w:val="24"/>
          <w:szCs w:val="24"/>
          <w:lang w:eastAsia="ru-RU"/>
        </w:rPr>
        <w:t>6.3. порядок внесения задатка ___________________________________________________</w:t>
      </w:r>
    </w:p>
    <w:p w:rsidR="00562DE4" w:rsidRPr="00562DE4" w:rsidRDefault="00562DE4" w:rsidP="00562DE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2DE4">
        <w:rPr>
          <w:rFonts w:ascii="Times New Roman" w:eastAsiaTheme="minorEastAsia" w:hAnsi="Times New Roman"/>
          <w:sz w:val="24"/>
          <w:szCs w:val="24"/>
          <w:lang w:eastAsia="ru-RU"/>
        </w:rPr>
        <w:t>6.4. участнику, выигравшему конкурс, внесенный задаток засчитывается в возмещение затрат на организацию и проведение конкурса;</w:t>
      </w:r>
    </w:p>
    <w:p w:rsidR="00562DE4" w:rsidRPr="00562DE4" w:rsidRDefault="00562DE4" w:rsidP="00562DE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2DE4">
        <w:rPr>
          <w:rFonts w:ascii="Times New Roman" w:eastAsiaTheme="minorEastAsia" w:hAnsi="Times New Roman"/>
          <w:sz w:val="24"/>
          <w:szCs w:val="24"/>
          <w:lang w:eastAsia="ru-RU"/>
        </w:rPr>
        <w:t>6.5. участнику, не выигравшему конкурс, внесенный задаток возвращается в течение ______________ рабочих дней со дня проведения конкурса.</w:t>
      </w:r>
    </w:p>
    <w:p w:rsidR="00562DE4" w:rsidRPr="00562DE4" w:rsidRDefault="00562DE4" w:rsidP="00562DE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2DE4">
        <w:rPr>
          <w:rFonts w:ascii="Times New Roman" w:eastAsiaTheme="minorEastAsia" w:hAnsi="Times New Roman"/>
          <w:sz w:val="24"/>
          <w:szCs w:val="24"/>
          <w:lang w:eastAsia="ru-RU"/>
        </w:rPr>
        <w:t>7. Сведения о возмещении затрат на организацию и проведение конкурса*:</w:t>
      </w:r>
    </w:p>
    <w:p w:rsidR="00562DE4" w:rsidRPr="00562DE4" w:rsidRDefault="00562DE4" w:rsidP="00562DE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2DE4">
        <w:rPr>
          <w:rFonts w:ascii="Times New Roman" w:eastAsiaTheme="minorEastAsia" w:hAnsi="Times New Roman"/>
          <w:sz w:val="24"/>
          <w:szCs w:val="24"/>
          <w:lang w:eastAsia="ru-RU"/>
        </w:rPr>
        <w:t>7.1. размер возмещения затрат ___________________________________________________</w:t>
      </w:r>
    </w:p>
    <w:p w:rsidR="00562DE4" w:rsidRPr="00562DE4" w:rsidRDefault="00562DE4" w:rsidP="00562DE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2DE4">
        <w:rPr>
          <w:rFonts w:ascii="Times New Roman" w:eastAsiaTheme="minorEastAsia" w:hAnsi="Times New Roman"/>
          <w:sz w:val="24"/>
          <w:szCs w:val="24"/>
          <w:lang w:eastAsia="ru-RU"/>
        </w:rPr>
        <w:t>7.2. срок возмещения затрат _____________________________________________________</w:t>
      </w:r>
    </w:p>
    <w:p w:rsidR="00562DE4" w:rsidRPr="00562DE4" w:rsidRDefault="00562DE4" w:rsidP="00562DE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2DE4">
        <w:rPr>
          <w:rFonts w:ascii="Times New Roman" w:eastAsiaTheme="minorEastAsia" w:hAnsi="Times New Roman"/>
          <w:sz w:val="24"/>
          <w:szCs w:val="24"/>
          <w:lang w:eastAsia="ru-RU"/>
        </w:rPr>
        <w:t>7.3. порядок возмещения затрат _________________________________________________</w:t>
      </w:r>
    </w:p>
    <w:p w:rsidR="00A233D3" w:rsidRPr="006D753D" w:rsidRDefault="00562DE4" w:rsidP="00562DE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 w:rsidRPr="00562DE4">
        <w:rPr>
          <w:rFonts w:ascii="Times New Roman" w:eastAsiaTheme="minorEastAsia" w:hAnsi="Times New Roman"/>
          <w:sz w:val="24"/>
          <w:szCs w:val="24"/>
          <w:lang w:eastAsia="ru-RU"/>
        </w:rPr>
        <w:t xml:space="preserve">8. Другая информация (сведения) </w:t>
      </w:r>
      <w:r w:rsidR="00A233D3" w:rsidRPr="006D753D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Оценка данных участников проводится после квалификационного отбора в следующем порядке.</w:t>
      </w:r>
    </w:p>
    <w:p w:rsidR="00A233D3" w:rsidRPr="006D753D" w:rsidRDefault="00A233D3" w:rsidP="00562DE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 w:rsidRPr="006D753D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Участники представляют заявки, которые в обязательном порядке должны содержать документы (см. п. 4.3 извещения).</w:t>
      </w:r>
    </w:p>
    <w:p w:rsidR="006D753D" w:rsidRPr="006D753D" w:rsidRDefault="00A233D3" w:rsidP="006D753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D753D">
        <w:rPr>
          <w:rFonts w:ascii="Times New Roman" w:eastAsiaTheme="minorEastAsia" w:hAnsi="Times New Roman"/>
          <w:sz w:val="24"/>
          <w:szCs w:val="24"/>
          <w:lang w:eastAsia="ru-RU"/>
        </w:rPr>
        <w:t>После комиссионного рассмотрения, представленных документов и прохождения участниками квалификационного отбора, заказчик на основании приведенных оценочных критериев осуществляет выбор победителя конкурса (исполнителя мероприятия по выполнению</w:t>
      </w:r>
      <w:r w:rsidR="006D753D" w:rsidRPr="006D753D">
        <w:rPr>
          <w:rFonts w:ascii="Times New Roman" w:eastAsiaTheme="minorEastAsia" w:hAnsi="Times New Roman"/>
          <w:sz w:val="24"/>
          <w:szCs w:val="24"/>
          <w:lang w:eastAsia="ru-RU"/>
        </w:rPr>
        <w:t xml:space="preserve"> информационного обеспечения инвестиционной деятельности Министерства транспорта и коммуникаций Республики Беларусь).</w:t>
      </w:r>
    </w:p>
    <w:p w:rsidR="00F70030" w:rsidRDefault="00F70030" w:rsidP="00F70030">
      <w:pPr>
        <w:pStyle w:val="titlep"/>
        <w:spacing w:before="0" w:after="0"/>
        <w:rPr>
          <w:b w:val="0"/>
        </w:rPr>
      </w:pPr>
    </w:p>
    <w:p w:rsidR="00F70030" w:rsidRPr="006D753D" w:rsidRDefault="00F70030" w:rsidP="00F70030">
      <w:pPr>
        <w:pStyle w:val="titlep"/>
        <w:spacing w:before="0" w:after="0"/>
        <w:rPr>
          <w:b w:val="0"/>
        </w:rPr>
      </w:pPr>
      <w:r>
        <w:rPr>
          <w:b w:val="0"/>
        </w:rPr>
        <w:t>Критерии</w:t>
      </w:r>
      <w:r w:rsidRPr="006D753D">
        <w:rPr>
          <w:b w:val="0"/>
        </w:rPr>
        <w:t xml:space="preserve"> оценки и выбора исполнителя мероприятия</w:t>
      </w:r>
    </w:p>
    <w:p w:rsidR="00F70030" w:rsidRDefault="00F70030" w:rsidP="00F70030">
      <w:pPr>
        <w:pStyle w:val="titlep"/>
        <w:spacing w:before="0" w:after="0"/>
        <w:rPr>
          <w:b w:val="0"/>
        </w:rPr>
      </w:pPr>
      <w:r w:rsidRPr="006D753D">
        <w:rPr>
          <w:b w:val="0"/>
        </w:rPr>
        <w:t xml:space="preserve"> «Информационное обеспечение инвестиционной деятельности Министерства транспорта и коммуникаций Республики Беларусь»</w:t>
      </w:r>
    </w:p>
    <w:p w:rsidR="00F70030" w:rsidRPr="006D753D" w:rsidRDefault="00F70030" w:rsidP="00F70030">
      <w:pPr>
        <w:pStyle w:val="titlep"/>
        <w:spacing w:before="0" w:after="0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7252"/>
        <w:gridCol w:w="1552"/>
      </w:tblGrid>
      <w:tr w:rsidR="00F70030" w:rsidTr="00472F8D">
        <w:tc>
          <w:tcPr>
            <w:tcW w:w="540" w:type="dxa"/>
          </w:tcPr>
          <w:p w:rsidR="00F70030" w:rsidRPr="001C5389" w:rsidRDefault="00F70030" w:rsidP="00472F8D">
            <w:pPr>
              <w:pStyle w:val="titlep"/>
              <w:spacing w:before="0" w:after="0"/>
              <w:rPr>
                <w:b w:val="0"/>
              </w:rPr>
            </w:pPr>
            <w:r w:rsidRPr="001C5389">
              <w:rPr>
                <w:b w:val="0"/>
              </w:rPr>
              <w:t>№ п/п</w:t>
            </w:r>
          </w:p>
        </w:tc>
        <w:tc>
          <w:tcPr>
            <w:tcW w:w="7252" w:type="dxa"/>
          </w:tcPr>
          <w:p w:rsidR="00F70030" w:rsidRPr="001C5389" w:rsidRDefault="00F70030" w:rsidP="00472F8D">
            <w:pPr>
              <w:pStyle w:val="titlep"/>
              <w:spacing w:before="0" w:after="0"/>
              <w:rPr>
                <w:b w:val="0"/>
              </w:rPr>
            </w:pPr>
            <w:r w:rsidRPr="001C5389">
              <w:rPr>
                <w:b w:val="0"/>
              </w:rPr>
              <w:t>Основные оценочные критерии</w:t>
            </w:r>
          </w:p>
        </w:tc>
        <w:tc>
          <w:tcPr>
            <w:tcW w:w="1552" w:type="dxa"/>
          </w:tcPr>
          <w:p w:rsidR="00F70030" w:rsidRPr="001C5389" w:rsidRDefault="00F70030" w:rsidP="00472F8D">
            <w:pPr>
              <w:pStyle w:val="titlep"/>
              <w:spacing w:before="0" w:after="0"/>
              <w:rPr>
                <w:b w:val="0"/>
              </w:rPr>
            </w:pPr>
            <w:r w:rsidRPr="001C5389">
              <w:rPr>
                <w:b w:val="0"/>
              </w:rPr>
              <w:t>Удельный вес критерия</w:t>
            </w:r>
          </w:p>
        </w:tc>
      </w:tr>
      <w:tr w:rsidR="00F70030" w:rsidTr="00472F8D">
        <w:tc>
          <w:tcPr>
            <w:tcW w:w="540" w:type="dxa"/>
          </w:tcPr>
          <w:p w:rsidR="00F70030" w:rsidRPr="001C5389" w:rsidRDefault="00F70030" w:rsidP="00472F8D">
            <w:pPr>
              <w:pStyle w:val="titlep"/>
              <w:spacing w:before="0" w:after="0"/>
              <w:rPr>
                <w:b w:val="0"/>
              </w:rPr>
            </w:pPr>
            <w:r w:rsidRPr="001C5389">
              <w:rPr>
                <w:b w:val="0"/>
              </w:rPr>
              <w:t>1</w:t>
            </w:r>
          </w:p>
        </w:tc>
        <w:tc>
          <w:tcPr>
            <w:tcW w:w="7252" w:type="dxa"/>
          </w:tcPr>
          <w:p w:rsidR="00F70030" w:rsidRPr="001C5389" w:rsidRDefault="00F70030" w:rsidP="00472F8D">
            <w:pPr>
              <w:pStyle w:val="titlep"/>
              <w:spacing w:before="0" w:after="0"/>
              <w:jc w:val="both"/>
              <w:rPr>
                <w:b w:val="0"/>
              </w:rPr>
            </w:pPr>
            <w:r w:rsidRPr="001C5389">
              <w:rPr>
                <w:b w:val="0"/>
              </w:rPr>
              <w:t>Цена предложения</w:t>
            </w:r>
          </w:p>
        </w:tc>
        <w:tc>
          <w:tcPr>
            <w:tcW w:w="1552" w:type="dxa"/>
          </w:tcPr>
          <w:p w:rsidR="00F70030" w:rsidRPr="001C5389" w:rsidRDefault="00A12ED3" w:rsidP="00472F8D">
            <w:pPr>
              <w:pStyle w:val="titlep"/>
              <w:spacing w:before="0" w:after="0"/>
              <w:rPr>
                <w:b w:val="0"/>
              </w:rPr>
            </w:pPr>
            <w:r>
              <w:rPr>
                <w:b w:val="0"/>
              </w:rPr>
              <w:t>0,5</w:t>
            </w:r>
          </w:p>
        </w:tc>
      </w:tr>
      <w:tr w:rsidR="00F70030" w:rsidTr="00472F8D">
        <w:tc>
          <w:tcPr>
            <w:tcW w:w="540" w:type="dxa"/>
          </w:tcPr>
          <w:p w:rsidR="00F70030" w:rsidRPr="001C5389" w:rsidRDefault="00F70030" w:rsidP="00472F8D">
            <w:pPr>
              <w:pStyle w:val="titlep"/>
              <w:spacing w:before="0" w:after="0"/>
              <w:rPr>
                <w:b w:val="0"/>
              </w:rPr>
            </w:pPr>
            <w:r w:rsidRPr="001C5389">
              <w:rPr>
                <w:b w:val="0"/>
              </w:rPr>
              <w:t>2</w:t>
            </w:r>
          </w:p>
        </w:tc>
        <w:tc>
          <w:tcPr>
            <w:tcW w:w="7252" w:type="dxa"/>
          </w:tcPr>
          <w:p w:rsidR="00F70030" w:rsidRPr="001C5389" w:rsidRDefault="00F70030" w:rsidP="00F70030">
            <w:pPr>
              <w:pStyle w:val="titlep"/>
              <w:spacing w:before="0" w:after="0"/>
              <w:jc w:val="both"/>
              <w:rPr>
                <w:b w:val="0"/>
              </w:rPr>
            </w:pPr>
            <w:r w:rsidRPr="001C5389">
              <w:rPr>
                <w:b w:val="0"/>
              </w:rPr>
              <w:t xml:space="preserve">Выполнение работ по заданиям государственных органов (договорам с государственными органами) в области информационного обеспечения инвестиционной деятельности, включая проведение выставочных мероприятий, за последние </w:t>
            </w:r>
            <w:r>
              <w:rPr>
                <w:b w:val="0"/>
              </w:rPr>
              <w:t>5 лет</w:t>
            </w:r>
          </w:p>
        </w:tc>
        <w:tc>
          <w:tcPr>
            <w:tcW w:w="1552" w:type="dxa"/>
          </w:tcPr>
          <w:p w:rsidR="00F70030" w:rsidRPr="001C5389" w:rsidRDefault="00F70030" w:rsidP="00472F8D">
            <w:pPr>
              <w:pStyle w:val="titlep"/>
              <w:spacing w:before="0" w:after="0"/>
              <w:rPr>
                <w:b w:val="0"/>
              </w:rPr>
            </w:pPr>
            <w:r w:rsidRPr="001C5389">
              <w:rPr>
                <w:b w:val="0"/>
              </w:rPr>
              <w:t>0</w:t>
            </w:r>
            <w:r w:rsidR="00A12ED3">
              <w:rPr>
                <w:b w:val="0"/>
              </w:rPr>
              <w:t>,3</w:t>
            </w:r>
          </w:p>
        </w:tc>
      </w:tr>
      <w:tr w:rsidR="00F70030" w:rsidTr="00472F8D">
        <w:tc>
          <w:tcPr>
            <w:tcW w:w="540" w:type="dxa"/>
          </w:tcPr>
          <w:p w:rsidR="00F70030" w:rsidRPr="001C5389" w:rsidRDefault="00F70030" w:rsidP="00472F8D">
            <w:pPr>
              <w:pStyle w:val="titlep"/>
              <w:spacing w:before="0" w:after="0"/>
              <w:rPr>
                <w:b w:val="0"/>
              </w:rPr>
            </w:pPr>
            <w:r w:rsidRPr="001C5389">
              <w:rPr>
                <w:b w:val="0"/>
              </w:rPr>
              <w:t>3</w:t>
            </w:r>
          </w:p>
        </w:tc>
        <w:tc>
          <w:tcPr>
            <w:tcW w:w="7252" w:type="dxa"/>
          </w:tcPr>
          <w:p w:rsidR="00F70030" w:rsidRPr="001C5389" w:rsidRDefault="00F70030" w:rsidP="00D24AD6">
            <w:pPr>
              <w:pStyle w:val="titlep"/>
              <w:spacing w:before="0" w:after="0"/>
              <w:jc w:val="both"/>
              <w:rPr>
                <w:b w:val="0"/>
              </w:rPr>
            </w:pPr>
            <w:r w:rsidRPr="001C5389">
              <w:rPr>
                <w:b w:val="0"/>
              </w:rPr>
              <w:t>Квалификационные требования к участникам (</w:t>
            </w:r>
            <w:r w:rsidR="00D24AD6">
              <w:rPr>
                <w:b w:val="0"/>
              </w:rPr>
              <w:t>опыт работы в сфере транспортной деятельности не менее 3 лет</w:t>
            </w:r>
            <w:r w:rsidRPr="001C5389">
              <w:rPr>
                <w:b w:val="0"/>
              </w:rPr>
              <w:t>)</w:t>
            </w:r>
          </w:p>
        </w:tc>
        <w:tc>
          <w:tcPr>
            <w:tcW w:w="1552" w:type="dxa"/>
          </w:tcPr>
          <w:p w:rsidR="00F70030" w:rsidRPr="001C5389" w:rsidRDefault="00F70030" w:rsidP="00472F8D">
            <w:pPr>
              <w:pStyle w:val="titlep"/>
              <w:spacing w:before="0" w:after="0"/>
              <w:rPr>
                <w:b w:val="0"/>
              </w:rPr>
            </w:pPr>
            <w:r w:rsidRPr="001C5389">
              <w:rPr>
                <w:b w:val="0"/>
              </w:rPr>
              <w:t>0,2</w:t>
            </w:r>
          </w:p>
        </w:tc>
      </w:tr>
    </w:tbl>
    <w:p w:rsidR="00F70030" w:rsidRDefault="00F70030" w:rsidP="006D753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D753D" w:rsidRDefault="006D753D" w:rsidP="006D753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70030" w:rsidRPr="006D753D" w:rsidRDefault="00F70030" w:rsidP="006D753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62DE4" w:rsidRPr="00562DE4" w:rsidRDefault="00562DE4" w:rsidP="00562DE4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62DE4">
        <w:rPr>
          <w:rFonts w:ascii="Times New Roman" w:eastAsiaTheme="minorEastAsia" w:hAnsi="Times New Roman"/>
          <w:sz w:val="20"/>
          <w:szCs w:val="20"/>
          <w:lang w:eastAsia="ru-RU"/>
        </w:rPr>
        <w:t>______________________________</w:t>
      </w:r>
    </w:p>
    <w:p w:rsidR="00562DE4" w:rsidRDefault="00562DE4" w:rsidP="00562DE4">
      <w:pPr>
        <w:spacing w:after="240" w:line="240" w:lineRule="auto"/>
        <w:ind w:firstLine="567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62DE4">
        <w:rPr>
          <w:rFonts w:ascii="Times New Roman" w:eastAsiaTheme="minorEastAsia" w:hAnsi="Times New Roman"/>
          <w:sz w:val="20"/>
          <w:szCs w:val="20"/>
          <w:lang w:eastAsia="ru-RU"/>
        </w:rPr>
        <w:t>* Пункт включается в извещение, если организатором конкурса определена необходимость внесения задатка, возмещения затрат на организацию и проведение конкурса.</w:t>
      </w:r>
    </w:p>
    <w:p w:rsidR="003A5220" w:rsidRDefault="003A5220" w:rsidP="00562DE4">
      <w:pPr>
        <w:spacing w:after="240" w:line="240" w:lineRule="auto"/>
        <w:ind w:firstLine="567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3A5220" w:rsidRDefault="003A5220" w:rsidP="005D2E33">
      <w:pPr>
        <w:pStyle w:val="titlep"/>
        <w:jc w:val="left"/>
      </w:pPr>
    </w:p>
    <w:sectPr w:rsidR="003A5220" w:rsidSect="00CD6723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6A4" w:rsidRDefault="000956A4">
      <w:pPr>
        <w:spacing w:after="0" w:line="240" w:lineRule="auto"/>
      </w:pPr>
      <w:r>
        <w:separator/>
      </w:r>
    </w:p>
  </w:endnote>
  <w:endnote w:type="continuationSeparator" w:id="0">
    <w:p w:rsidR="000956A4" w:rsidRDefault="0009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15" w:rsidRPr="000E2696" w:rsidRDefault="005B7A15">
    <w:pPr>
      <w:pStyle w:val="ab"/>
      <w:jc w:val="center"/>
      <w:rPr>
        <w:sz w:val="22"/>
        <w:szCs w:val="22"/>
      </w:rPr>
    </w:pPr>
  </w:p>
  <w:p w:rsidR="005B7A15" w:rsidRDefault="005B7A1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6A4" w:rsidRDefault="000956A4">
      <w:pPr>
        <w:spacing w:after="0" w:line="240" w:lineRule="auto"/>
      </w:pPr>
      <w:r>
        <w:separator/>
      </w:r>
    </w:p>
  </w:footnote>
  <w:footnote w:type="continuationSeparator" w:id="0">
    <w:p w:rsidR="000956A4" w:rsidRDefault="00095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25218"/>
    <w:multiLevelType w:val="hybridMultilevel"/>
    <w:tmpl w:val="6414BCE2"/>
    <w:lvl w:ilvl="0" w:tplc="0D280D28">
      <w:start w:val="1"/>
      <w:numFmt w:val="decimal"/>
      <w:suff w:val="space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A63F3"/>
    <w:multiLevelType w:val="multilevel"/>
    <w:tmpl w:val="5B968196"/>
    <w:lvl w:ilvl="0">
      <w:start w:val="1"/>
      <w:numFmt w:val="decimal"/>
      <w:lvlText w:val="%1."/>
      <w:lvlJc w:val="left"/>
      <w:pPr>
        <w:tabs>
          <w:tab w:val="num" w:pos="1065"/>
        </w:tabs>
        <w:ind w:firstLine="705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7901FC7A"/>
    <w:multiLevelType w:val="multilevel"/>
    <w:tmpl w:val="613CE67E"/>
    <w:lvl w:ilvl="0">
      <w:start w:val="1"/>
      <w:numFmt w:val="decimal"/>
      <w:lvlText w:val="%1."/>
      <w:lvlJc w:val="left"/>
      <w:pPr>
        <w:tabs>
          <w:tab w:val="num" w:pos="1065"/>
        </w:tabs>
        <w:ind w:firstLine="705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7FCC3F02"/>
    <w:multiLevelType w:val="multilevel"/>
    <w:tmpl w:val="5CD56D66"/>
    <w:lvl w:ilvl="0">
      <w:start w:val="1"/>
      <w:numFmt w:val="decimal"/>
      <w:lvlText w:val="%1."/>
      <w:lvlJc w:val="left"/>
      <w:pPr>
        <w:tabs>
          <w:tab w:val="num" w:pos="1065"/>
        </w:tabs>
        <w:ind w:firstLine="705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C0"/>
    <w:rsid w:val="00022C4E"/>
    <w:rsid w:val="00027985"/>
    <w:rsid w:val="00050972"/>
    <w:rsid w:val="000614D3"/>
    <w:rsid w:val="0006602B"/>
    <w:rsid w:val="000956A4"/>
    <w:rsid w:val="000A4977"/>
    <w:rsid w:val="000B3565"/>
    <w:rsid w:val="000D03B0"/>
    <w:rsid w:val="000E675B"/>
    <w:rsid w:val="001116CD"/>
    <w:rsid w:val="00113F4E"/>
    <w:rsid w:val="00124572"/>
    <w:rsid w:val="001641CF"/>
    <w:rsid w:val="0016484F"/>
    <w:rsid w:val="00164FBB"/>
    <w:rsid w:val="00165B19"/>
    <w:rsid w:val="00172D1A"/>
    <w:rsid w:val="001A120B"/>
    <w:rsid w:val="001C1A9E"/>
    <w:rsid w:val="001C5389"/>
    <w:rsid w:val="00206FF6"/>
    <w:rsid w:val="00230FAD"/>
    <w:rsid w:val="00246AE6"/>
    <w:rsid w:val="002679D2"/>
    <w:rsid w:val="00283935"/>
    <w:rsid w:val="0028776A"/>
    <w:rsid w:val="002A7C78"/>
    <w:rsid w:val="002C01BB"/>
    <w:rsid w:val="002E6CEF"/>
    <w:rsid w:val="002F0BFF"/>
    <w:rsid w:val="0030560D"/>
    <w:rsid w:val="00313F6E"/>
    <w:rsid w:val="00314EFE"/>
    <w:rsid w:val="00322AB2"/>
    <w:rsid w:val="00327734"/>
    <w:rsid w:val="0033705C"/>
    <w:rsid w:val="00344D14"/>
    <w:rsid w:val="003508D4"/>
    <w:rsid w:val="0037386A"/>
    <w:rsid w:val="003A5220"/>
    <w:rsid w:val="003B15A1"/>
    <w:rsid w:val="003B6E39"/>
    <w:rsid w:val="003E3FBA"/>
    <w:rsid w:val="004069EE"/>
    <w:rsid w:val="00412182"/>
    <w:rsid w:val="004407AC"/>
    <w:rsid w:val="00444E41"/>
    <w:rsid w:val="00452BB9"/>
    <w:rsid w:val="0045495F"/>
    <w:rsid w:val="004673BE"/>
    <w:rsid w:val="00480F43"/>
    <w:rsid w:val="00494BDF"/>
    <w:rsid w:val="004A1A5D"/>
    <w:rsid w:val="004B3D14"/>
    <w:rsid w:val="004B61C4"/>
    <w:rsid w:val="004C5521"/>
    <w:rsid w:val="004F20C5"/>
    <w:rsid w:val="00512B35"/>
    <w:rsid w:val="00513E38"/>
    <w:rsid w:val="005556E8"/>
    <w:rsid w:val="00556D6D"/>
    <w:rsid w:val="00557774"/>
    <w:rsid w:val="00562541"/>
    <w:rsid w:val="00562DE4"/>
    <w:rsid w:val="005A13C4"/>
    <w:rsid w:val="005B3E0F"/>
    <w:rsid w:val="005B6965"/>
    <w:rsid w:val="005B7A15"/>
    <w:rsid w:val="005D2E33"/>
    <w:rsid w:val="005D5636"/>
    <w:rsid w:val="005E6B55"/>
    <w:rsid w:val="005F359A"/>
    <w:rsid w:val="006075E0"/>
    <w:rsid w:val="00620BD0"/>
    <w:rsid w:val="00630020"/>
    <w:rsid w:val="006331B4"/>
    <w:rsid w:val="00633616"/>
    <w:rsid w:val="00677A51"/>
    <w:rsid w:val="00694B14"/>
    <w:rsid w:val="006D753D"/>
    <w:rsid w:val="006E18C0"/>
    <w:rsid w:val="00712E35"/>
    <w:rsid w:val="0073240D"/>
    <w:rsid w:val="00736DEC"/>
    <w:rsid w:val="00742805"/>
    <w:rsid w:val="007456E2"/>
    <w:rsid w:val="007530C6"/>
    <w:rsid w:val="007739C0"/>
    <w:rsid w:val="00773DF4"/>
    <w:rsid w:val="00774B62"/>
    <w:rsid w:val="00776657"/>
    <w:rsid w:val="007824EC"/>
    <w:rsid w:val="00787951"/>
    <w:rsid w:val="00796819"/>
    <w:rsid w:val="00797404"/>
    <w:rsid w:val="007A06DF"/>
    <w:rsid w:val="007A338C"/>
    <w:rsid w:val="007E0BF9"/>
    <w:rsid w:val="007E4D42"/>
    <w:rsid w:val="007F561E"/>
    <w:rsid w:val="00803F5D"/>
    <w:rsid w:val="00822F74"/>
    <w:rsid w:val="00830CEC"/>
    <w:rsid w:val="00856E56"/>
    <w:rsid w:val="008A0C80"/>
    <w:rsid w:val="008A60CD"/>
    <w:rsid w:val="008B2948"/>
    <w:rsid w:val="008B4CA1"/>
    <w:rsid w:val="008D120A"/>
    <w:rsid w:val="008E7520"/>
    <w:rsid w:val="008F6545"/>
    <w:rsid w:val="008F6671"/>
    <w:rsid w:val="0093203C"/>
    <w:rsid w:val="00957A85"/>
    <w:rsid w:val="00960A3A"/>
    <w:rsid w:val="00970B77"/>
    <w:rsid w:val="00985480"/>
    <w:rsid w:val="009A36B5"/>
    <w:rsid w:val="009C4869"/>
    <w:rsid w:val="009C5362"/>
    <w:rsid w:val="009E752F"/>
    <w:rsid w:val="00A0690E"/>
    <w:rsid w:val="00A12ED3"/>
    <w:rsid w:val="00A233D3"/>
    <w:rsid w:val="00A31141"/>
    <w:rsid w:val="00A5618B"/>
    <w:rsid w:val="00A617CE"/>
    <w:rsid w:val="00A81B11"/>
    <w:rsid w:val="00AA3AA8"/>
    <w:rsid w:val="00AC0E4C"/>
    <w:rsid w:val="00AD53CF"/>
    <w:rsid w:val="00AF1175"/>
    <w:rsid w:val="00AF4754"/>
    <w:rsid w:val="00B07DCE"/>
    <w:rsid w:val="00B14ABF"/>
    <w:rsid w:val="00B414C8"/>
    <w:rsid w:val="00B5464D"/>
    <w:rsid w:val="00B54CD5"/>
    <w:rsid w:val="00B569E0"/>
    <w:rsid w:val="00B677AB"/>
    <w:rsid w:val="00B8379B"/>
    <w:rsid w:val="00B97F56"/>
    <w:rsid w:val="00BB504D"/>
    <w:rsid w:val="00BD4119"/>
    <w:rsid w:val="00BF47F2"/>
    <w:rsid w:val="00C03C23"/>
    <w:rsid w:val="00C04F93"/>
    <w:rsid w:val="00C11E59"/>
    <w:rsid w:val="00C23E24"/>
    <w:rsid w:val="00C255A0"/>
    <w:rsid w:val="00C33B72"/>
    <w:rsid w:val="00C36781"/>
    <w:rsid w:val="00C50C9B"/>
    <w:rsid w:val="00C54594"/>
    <w:rsid w:val="00C632CE"/>
    <w:rsid w:val="00C637FB"/>
    <w:rsid w:val="00C7054D"/>
    <w:rsid w:val="00C73E7A"/>
    <w:rsid w:val="00C854E6"/>
    <w:rsid w:val="00C91DC8"/>
    <w:rsid w:val="00CA4353"/>
    <w:rsid w:val="00CD5482"/>
    <w:rsid w:val="00CD570B"/>
    <w:rsid w:val="00CD6723"/>
    <w:rsid w:val="00CD6EEA"/>
    <w:rsid w:val="00CE02F4"/>
    <w:rsid w:val="00CE4797"/>
    <w:rsid w:val="00D01EB4"/>
    <w:rsid w:val="00D11309"/>
    <w:rsid w:val="00D24AD6"/>
    <w:rsid w:val="00D314C7"/>
    <w:rsid w:val="00D45AEC"/>
    <w:rsid w:val="00D52979"/>
    <w:rsid w:val="00D679E8"/>
    <w:rsid w:val="00D734D3"/>
    <w:rsid w:val="00D91294"/>
    <w:rsid w:val="00D94D3C"/>
    <w:rsid w:val="00DA6487"/>
    <w:rsid w:val="00DB63C5"/>
    <w:rsid w:val="00DC03E4"/>
    <w:rsid w:val="00DC5E63"/>
    <w:rsid w:val="00DF4948"/>
    <w:rsid w:val="00E04996"/>
    <w:rsid w:val="00E1687F"/>
    <w:rsid w:val="00E25DA5"/>
    <w:rsid w:val="00E53D24"/>
    <w:rsid w:val="00E7444B"/>
    <w:rsid w:val="00EC0728"/>
    <w:rsid w:val="00ED2EBF"/>
    <w:rsid w:val="00EE4654"/>
    <w:rsid w:val="00F234A1"/>
    <w:rsid w:val="00F235BE"/>
    <w:rsid w:val="00F310BB"/>
    <w:rsid w:val="00F473C0"/>
    <w:rsid w:val="00F47942"/>
    <w:rsid w:val="00F5675F"/>
    <w:rsid w:val="00F62E2F"/>
    <w:rsid w:val="00F70030"/>
    <w:rsid w:val="00F72EBA"/>
    <w:rsid w:val="00F7545F"/>
    <w:rsid w:val="00F776FE"/>
    <w:rsid w:val="00F77FE6"/>
    <w:rsid w:val="00F82453"/>
    <w:rsid w:val="00F96296"/>
    <w:rsid w:val="00F977A0"/>
    <w:rsid w:val="00FB30D5"/>
    <w:rsid w:val="00FB6CBB"/>
    <w:rsid w:val="00FB7AF5"/>
    <w:rsid w:val="00FE23E7"/>
    <w:rsid w:val="00FE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BA611-8D7B-4CA0-AEEF-9B0AA689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C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D75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70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3B15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E18C0"/>
    <w:rPr>
      <w:rFonts w:ascii="Segoe UI" w:hAnsi="Segoe UI" w:cs="Segoe UI"/>
      <w:sz w:val="18"/>
      <w:szCs w:val="18"/>
    </w:rPr>
  </w:style>
  <w:style w:type="paragraph" w:customStyle="1" w:styleId="table10">
    <w:name w:val="table10"/>
    <w:basedOn w:val="a"/>
    <w:rsid w:val="00172D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3E3FB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773D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40">
    <w:name w:val="Заголовок 4 Знак"/>
    <w:link w:val="4"/>
    <w:uiPriority w:val="9"/>
    <w:rsid w:val="003B15A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noski">
    <w:name w:val="snoski"/>
    <w:basedOn w:val="a"/>
    <w:rsid w:val="003B15A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umber">
    <w:name w:val="Number"/>
    <w:basedOn w:val="a"/>
    <w:uiPriority w:val="99"/>
    <w:rsid w:val="003B15A1"/>
    <w:pPr>
      <w:spacing w:after="120" w:line="240" w:lineRule="auto"/>
      <w:ind w:left="340" w:hanging="340"/>
      <w:jc w:val="both"/>
    </w:pPr>
    <w:rPr>
      <w:rFonts w:ascii="Times New Roman" w:eastAsia="Times New Roman" w:hAnsi="Times New Roman"/>
      <w:szCs w:val="20"/>
    </w:rPr>
  </w:style>
  <w:style w:type="paragraph" w:styleId="a5">
    <w:name w:val="List"/>
    <w:basedOn w:val="a"/>
    <w:next w:val="2"/>
    <w:rsid w:val="003B15A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6">
    <w:name w:val="Body Text"/>
    <w:basedOn w:val="a"/>
    <w:link w:val="a7"/>
    <w:rsid w:val="003B15A1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rsid w:val="003B15A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caption"/>
    <w:basedOn w:val="a"/>
    <w:next w:val="a"/>
    <w:uiPriority w:val="99"/>
    <w:qFormat/>
    <w:rsid w:val="003B15A1"/>
    <w:pPr>
      <w:keepNext/>
      <w:spacing w:before="120" w:after="0" w:line="240" w:lineRule="auto"/>
      <w:ind w:firstLine="709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9">
    <w:name w:val="List Paragraph"/>
    <w:basedOn w:val="a"/>
    <w:link w:val="aa"/>
    <w:qFormat/>
    <w:rsid w:val="003B15A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link w:val="12"/>
    <w:rsid w:val="003B15A1"/>
    <w:pPr>
      <w:keepNext/>
      <w:widowControl w:val="0"/>
      <w:spacing w:before="120" w:after="80" w:line="245" w:lineRule="auto"/>
      <w:ind w:left="567" w:right="567"/>
      <w:jc w:val="center"/>
    </w:pPr>
    <w:rPr>
      <w:rFonts w:ascii="Times New Roman" w:eastAsia="Times New Roman" w:hAnsi="Times New Roman"/>
      <w:b/>
      <w:kern w:val="28"/>
      <w:sz w:val="28"/>
      <w:szCs w:val="20"/>
    </w:rPr>
  </w:style>
  <w:style w:type="character" w:customStyle="1" w:styleId="12">
    <w:name w:val="заголовок 1 Знак"/>
    <w:link w:val="11"/>
    <w:rsid w:val="003B15A1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aa">
    <w:name w:val="Абзац списка Знак"/>
    <w:link w:val="a9"/>
    <w:rsid w:val="003B1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Таблица 3"/>
    <w:basedOn w:val="a"/>
    <w:qFormat/>
    <w:rsid w:val="003B15A1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 w:eastAsia="ru-RU"/>
    </w:rPr>
  </w:style>
  <w:style w:type="paragraph" w:styleId="2">
    <w:name w:val="List 2"/>
    <w:basedOn w:val="a"/>
    <w:uiPriority w:val="99"/>
    <w:semiHidden/>
    <w:unhideWhenUsed/>
    <w:rsid w:val="003B15A1"/>
    <w:pPr>
      <w:ind w:left="566" w:hanging="283"/>
      <w:contextualSpacing/>
    </w:pPr>
  </w:style>
  <w:style w:type="paragraph" w:styleId="ab">
    <w:name w:val="footer"/>
    <w:basedOn w:val="a"/>
    <w:link w:val="ac"/>
    <w:uiPriority w:val="99"/>
    <w:rsid w:val="00A617C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617CE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3705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titlep">
    <w:name w:val="titlep"/>
    <w:basedOn w:val="a"/>
    <w:rsid w:val="003A5220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753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ad">
    <w:name w:val="Table Grid"/>
    <w:basedOn w:val="a1"/>
    <w:uiPriority w:val="39"/>
    <w:rsid w:val="006D7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8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44EA-6E53-4257-BD4A-41158681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8623</CharactersWithSpaces>
  <SharedDoc>false</SharedDoc>
  <HLinks>
    <vt:vector size="6" baseType="variant">
      <vt:variant>
        <vt:i4>4326400</vt:i4>
      </vt:variant>
      <vt:variant>
        <vt:i4>0</vt:i4>
      </vt:variant>
      <vt:variant>
        <vt:i4>0</vt:i4>
      </vt:variant>
      <vt:variant>
        <vt:i4>5</vt:i4>
      </vt:variant>
      <vt:variant>
        <vt:lpwstr>D:\2019\СЕМЕЙНАЯ ПОЛИТИКА\H</vt:lpwstr>
      </vt:variant>
      <vt:variant>
        <vt:lpwstr>CA0|ГЛ~3~3|СТ~16~16|П~2~19CN~|point=2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Иосифовна Юодешко</dc:creator>
  <cp:lastModifiedBy>Куреленок Анна Сергеевна</cp:lastModifiedBy>
  <cp:revision>2</cp:revision>
  <cp:lastPrinted>2023-01-25T13:03:00Z</cp:lastPrinted>
  <dcterms:created xsi:type="dcterms:W3CDTF">2023-02-01T11:44:00Z</dcterms:created>
  <dcterms:modified xsi:type="dcterms:W3CDTF">2023-02-01T11:44:00Z</dcterms:modified>
</cp:coreProperties>
</file>